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p w:rsidR="007D7F4A" w:rsidRDefault="0060537A">
      <w:pPr>
        <w:pStyle w:val="Heading2"/>
      </w:pPr>
      <w:r>
        <w:t>02042 Ured za protokol</w:t>
      </w:r>
    </w:p>
    <w:p w:rsidR="007D7F4A" w:rsidRDefault="0060537A">
      <w:r>
        <w:t xml:space="preserve">Ured za protokol obavlja stručne, organizacijske i tehničke poslove protokola za potrebe Vlade Republike Hrvatske, predsjednika Vlade Republike Hrvatske te potpredsjednice/ka Vlade Republike Hrvatske. Poslovi Ureda za protokol su standardni kroz godine, a </w:t>
      </w:r>
      <w:r>
        <w:t xml:space="preserve">mogu se podijeliti na: </w:t>
      </w:r>
    </w:p>
    <w:p w:rsidR="007D7F4A" w:rsidRDefault="0060537A">
      <w:r>
        <w:t xml:space="preserve">- domaće programe u zgradi Vlade. </w:t>
      </w:r>
    </w:p>
    <w:p w:rsidR="007D7F4A" w:rsidRDefault="0060537A">
      <w:r>
        <w:t xml:space="preserve"> </w:t>
      </w:r>
    </w:p>
    <w:p w:rsidR="007D7F4A" w:rsidRDefault="0060537A">
      <w:r>
        <w:t>Ured za protokol sudjeluje u pripremi i organizaciji posjeta predsjedniku Vlade od strane predstavnika političkog, znanstvenog, pravosudnog, kulturnog, gospodarskog i športskog života Republike H</w:t>
      </w:r>
      <w:r>
        <w:t xml:space="preserve">rvatske. Uz to Ured sudjeluje i u pripremi redovitih sjednica / vijeća, kao što su: Vijeće za nacionalnu sigurnost, Vijeće za obranu, Upravljački odbor za izradu Nacionalne razvojne strategije RH do 2030., Vijeće za demografsku revitalizaciju RH, Sjednica </w:t>
      </w:r>
      <w:r>
        <w:t xml:space="preserve">Nacionalnog vijeća za uvođenje eura kao službene valute u Republici Hrvatskoj, Sastanci Znanstvenog savjeta. </w:t>
      </w:r>
    </w:p>
    <w:p w:rsidR="007D7F4A" w:rsidRDefault="0060537A">
      <w:r>
        <w:t xml:space="preserve"> </w:t>
      </w:r>
    </w:p>
    <w:p w:rsidR="007D7F4A" w:rsidRDefault="0060537A">
      <w:r>
        <w:t>- programe u Zagrebu (konferencije, polaganja vijenaca, prijemi u Uredu predsjednika, Hrvatskom saboru i drugim institucijama i vjerskim zajedni</w:t>
      </w:r>
      <w:r>
        <w:t>cama, otvorenje izložbi u Umjetničkim galerijama / muzejima, sudjelovanje u pozivnom centru humanitarnih akcija, sudjelovanje na obilježavanju obljetnica raznih institucija, udruga, društava, sudjelovanje u raznim događanjima političkog, znanstvenog, pravo</w:t>
      </w:r>
      <w:r>
        <w:t xml:space="preserve">sudnog, kulturnog, gospodarskog i športskog života u Gradu Zagrebu) </w:t>
      </w:r>
    </w:p>
    <w:p w:rsidR="007D7F4A" w:rsidRDefault="0060537A">
      <w:r>
        <w:t xml:space="preserve"> </w:t>
      </w:r>
    </w:p>
    <w:p w:rsidR="007D7F4A" w:rsidRDefault="0060537A">
      <w:r>
        <w:t xml:space="preserve">- programe izvan Zagreba, ali u RH (posjeti županijama, gradovima i općinama, održavanje sjednica Vlade RH u gradovima Republike Hrvatske, održavanje sastanaka Vlade Republike Hrvatske </w:t>
      </w:r>
      <w:r>
        <w:t>sa županima, predstavnicima Udruge gradova i Udruge općina i Odbora za lokalnu i područnu (regionalnu) samoupravu u Hrvatskom saboru, održavanje sjednica Savjeta za Slavoniju Baranju i Srijem, sudjelovanje na svečanim sjednicama županija, gradova i općina,</w:t>
      </w:r>
      <w:r>
        <w:t xml:space="preserve"> sudjelovanje na raznim komemoracijama i obilježavanjima raznih obljetnica (Plitvice, Jasenovac, Okučani, Borovo Selo, Knin, Vukovar, Škabrnja...), sudjelovanje na raznim kulturnim i športskim manifestacijama (Otvorenje Dubrovačkih ljetnih igara, Sinjska a</w:t>
      </w:r>
      <w:r>
        <w:t xml:space="preserve">lka, Maraton lađa, Trka na prstenac, Svjetska i Europska prvenstva u raznim športovima koja se organiziraju u RH, Hanžekovićev memorijal, utakmice nogometne reprezentacije i dr.) </w:t>
      </w:r>
    </w:p>
    <w:p w:rsidR="007D7F4A" w:rsidRDefault="0060537A">
      <w:r>
        <w:t xml:space="preserve"> </w:t>
      </w:r>
    </w:p>
    <w:p w:rsidR="007D7F4A" w:rsidRDefault="0060537A">
      <w:r>
        <w:t>- posjete stranih dužnosnika (posjeti predsjednika države, posjeti predsje</w:t>
      </w:r>
      <w:r>
        <w:t>dnika parlamenata, posjeti predsjednika vlada, posjeti ministara u vladama, posjete predstavnika međunarodnih organizacija (Europska komisija, Europski parlament, Vijeće Europe, NATO, UN, Svjetska banka, MMF, EIB...), posjete veleposlanika zemalja akrediti</w:t>
      </w:r>
      <w:r>
        <w:t xml:space="preserve">ranih u RH) </w:t>
      </w:r>
    </w:p>
    <w:p w:rsidR="007D7F4A" w:rsidRDefault="0060537A">
      <w:r>
        <w:t xml:space="preserve"> </w:t>
      </w:r>
    </w:p>
    <w:p w:rsidR="007D7F4A" w:rsidRDefault="0060537A">
      <w:r>
        <w:t>- putovanja predsjednika Vlade izvan Republike Hrvatske (službeni i radni posjeti drugim državama, sudjelovanje na redovnim i izvanrednim sastancima Europskog vijeća, sudjelovanje na neformalnim sastancima na vrhu zemalja članica EU, sudjelo</w:t>
      </w:r>
      <w:r>
        <w:t>vanje na raznim konferencijama / summitima (godišnji sastanak Svjetskog gospodarskog foruma, Munich Security Conference, zasjedanje Opće skupštine UN-a), sudjelovanje na sastanku na vrhu "Friends of Cohesion", sudjelovanje na sastanku na vrhu zemalja Zapad</w:t>
      </w:r>
      <w:r>
        <w:t>nog Balkana u organizaciji EBRD-a, sudjelovanje na sastancima šefova Vlada zemalja središnje i istočne Europe i NR Kine, sudjelovanje na sastancima na vrhu Berlinskog procesa, sudjelovanje na sastancima na vrhu Istočnog partnerstva, sudjelovanje na sastank</w:t>
      </w:r>
      <w:r>
        <w:t xml:space="preserve">u na vrhu zemalja Zapadnog Balkana u organizaciji WEF-a, sudjelovanje na sastanku na vrhu Srednjoeuropske inicijative) </w:t>
      </w:r>
    </w:p>
    <w:p w:rsidR="007D7F4A" w:rsidRDefault="0060537A">
      <w:r>
        <w:t xml:space="preserve"> </w:t>
      </w:r>
    </w:p>
    <w:p w:rsidR="007D7F4A" w:rsidRDefault="0060537A">
      <w:r>
        <w:t xml:space="preserve">- nabava poklona za predsjednika Vlade u prigodi posjeta u Vladi i za prigode bilateralnih susreta stranih predsjednika država, predsjednika Vlada u Vladi i tijekom radnih i službenih posjeta stranim zemljama </w:t>
      </w:r>
    </w:p>
    <w:p w:rsidR="007D7F4A" w:rsidRDefault="0060537A">
      <w:r>
        <w:t xml:space="preserve"> </w:t>
      </w:r>
    </w:p>
    <w:p w:rsidR="007D7F4A" w:rsidRDefault="0060537A">
      <w:r>
        <w:t xml:space="preserve">- nabava vijenaca u prigodama kad ih polaže </w:t>
      </w:r>
      <w:r>
        <w:t>predsjednik Vlade kao i u prigodama kad ih polažu izaslanici predsjednika Vlade.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49"/>
        <w:gridCol w:w="1563"/>
        <w:gridCol w:w="1556"/>
        <w:gridCol w:w="1556"/>
        <w:gridCol w:w="1556"/>
        <w:gridCol w:w="1556"/>
        <w:gridCol w:w="970"/>
      </w:tblGrid>
      <w:tr w:rsidR="007D7F4A">
        <w:trPr>
          <w:jc w:val="center"/>
        </w:trPr>
        <w:tc>
          <w:tcPr>
            <w:tcW w:w="1530" w:type="dxa"/>
            <w:shd w:val="clear" w:color="auto" w:fill="B5C0D8"/>
          </w:tcPr>
          <w:p w:rsidR="007D7F4A" w:rsidRDefault="007D7F4A">
            <w:pPr>
              <w:pStyle w:val="CellHeader"/>
              <w:jc w:val="center"/>
            </w:pP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2023.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7D7F4A">
        <w:trPr>
          <w:jc w:val="center"/>
        </w:trPr>
        <w:tc>
          <w:tcPr>
            <w:tcW w:w="1530" w:type="dxa"/>
          </w:tcPr>
          <w:p w:rsidR="007D7F4A" w:rsidRDefault="0060537A">
            <w:pPr>
              <w:pStyle w:val="CellColumn"/>
              <w:jc w:val="left"/>
            </w:pPr>
            <w:r>
              <w:rPr>
                <w:rFonts w:cs="Times New Roman"/>
              </w:rPr>
              <w:lastRenderedPageBreak/>
              <w:t>02042</w:t>
            </w:r>
          </w:p>
        </w:tc>
        <w:tc>
          <w:tcPr>
            <w:tcW w:w="1632" w:type="dxa"/>
          </w:tcPr>
          <w:p w:rsidR="007D7F4A" w:rsidRDefault="0060537A">
            <w:pPr>
              <w:jc w:val="right"/>
            </w:pPr>
            <w:r>
              <w:t>249.430</w:t>
            </w:r>
          </w:p>
        </w:tc>
        <w:tc>
          <w:tcPr>
            <w:tcW w:w="1632" w:type="dxa"/>
          </w:tcPr>
          <w:p w:rsidR="007D7F4A" w:rsidRDefault="0060537A">
            <w:pPr>
              <w:jc w:val="right"/>
            </w:pPr>
            <w:r>
              <w:t>363.507</w:t>
            </w:r>
          </w:p>
        </w:tc>
        <w:tc>
          <w:tcPr>
            <w:tcW w:w="1632" w:type="dxa"/>
          </w:tcPr>
          <w:p w:rsidR="007D7F4A" w:rsidRDefault="0060537A">
            <w:pPr>
              <w:jc w:val="right"/>
            </w:pPr>
            <w:r>
              <w:t>414.353</w:t>
            </w:r>
          </w:p>
        </w:tc>
        <w:tc>
          <w:tcPr>
            <w:tcW w:w="1632" w:type="dxa"/>
          </w:tcPr>
          <w:p w:rsidR="007D7F4A" w:rsidRDefault="0060537A">
            <w:pPr>
              <w:jc w:val="right"/>
            </w:pPr>
            <w:r>
              <w:t>392.256</w:t>
            </w:r>
          </w:p>
        </w:tc>
        <w:tc>
          <w:tcPr>
            <w:tcW w:w="1632" w:type="dxa"/>
          </w:tcPr>
          <w:p w:rsidR="007D7F4A" w:rsidRDefault="0060537A">
            <w:pPr>
              <w:jc w:val="right"/>
            </w:pPr>
            <w:r>
              <w:t>412.297</w:t>
            </w:r>
          </w:p>
        </w:tc>
        <w:tc>
          <w:tcPr>
            <w:tcW w:w="510" w:type="dxa"/>
          </w:tcPr>
          <w:p w:rsidR="007D7F4A" w:rsidRDefault="0060537A">
            <w:pPr>
              <w:jc w:val="right"/>
            </w:pPr>
            <w:r>
              <w:t>114,0</w:t>
            </w:r>
          </w:p>
        </w:tc>
      </w:tr>
    </w:tbl>
    <w:p w:rsidR="007D7F4A" w:rsidRDefault="007D7F4A">
      <w:pPr>
        <w:jc w:val="left"/>
      </w:pPr>
    </w:p>
    <w:p w:rsidR="007D7F4A" w:rsidRDefault="0060537A">
      <w:pPr>
        <w:pStyle w:val="Heading3"/>
      </w:pPr>
      <w:r>
        <w:rPr>
          <w:rFonts w:cs="Times New Roman"/>
        </w:rPr>
        <w:t>2107 PRUŽANJE PODRŠKE RADU VLADE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44"/>
        <w:gridCol w:w="1564"/>
        <w:gridCol w:w="1557"/>
        <w:gridCol w:w="1557"/>
        <w:gridCol w:w="1557"/>
        <w:gridCol w:w="1557"/>
        <w:gridCol w:w="970"/>
      </w:tblGrid>
      <w:tr w:rsidR="007D7F4A">
        <w:trPr>
          <w:jc w:val="center"/>
        </w:trPr>
        <w:tc>
          <w:tcPr>
            <w:tcW w:w="1530" w:type="dxa"/>
            <w:shd w:val="clear" w:color="auto" w:fill="B5C0D8"/>
          </w:tcPr>
          <w:p w:rsidR="007D7F4A" w:rsidRDefault="007D7F4A">
            <w:pPr>
              <w:pStyle w:val="CellHeader"/>
              <w:jc w:val="center"/>
            </w:pP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2023.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7D7F4A">
        <w:trPr>
          <w:jc w:val="center"/>
        </w:trPr>
        <w:tc>
          <w:tcPr>
            <w:tcW w:w="1530" w:type="dxa"/>
          </w:tcPr>
          <w:p w:rsidR="007D7F4A" w:rsidRDefault="0060537A">
            <w:pPr>
              <w:pStyle w:val="CellColumn"/>
              <w:jc w:val="left"/>
            </w:pPr>
            <w:r>
              <w:rPr>
                <w:rFonts w:cs="Times New Roman"/>
              </w:rPr>
              <w:t>2107</w:t>
            </w:r>
          </w:p>
        </w:tc>
        <w:tc>
          <w:tcPr>
            <w:tcW w:w="1632" w:type="dxa"/>
          </w:tcPr>
          <w:p w:rsidR="007D7F4A" w:rsidRDefault="0060537A">
            <w:pPr>
              <w:jc w:val="right"/>
            </w:pPr>
            <w:r>
              <w:t>249.430</w:t>
            </w:r>
          </w:p>
        </w:tc>
        <w:tc>
          <w:tcPr>
            <w:tcW w:w="1632" w:type="dxa"/>
          </w:tcPr>
          <w:p w:rsidR="007D7F4A" w:rsidRDefault="0060537A">
            <w:pPr>
              <w:jc w:val="right"/>
            </w:pPr>
            <w:r>
              <w:t>363.507</w:t>
            </w:r>
          </w:p>
        </w:tc>
        <w:tc>
          <w:tcPr>
            <w:tcW w:w="1632" w:type="dxa"/>
          </w:tcPr>
          <w:p w:rsidR="007D7F4A" w:rsidRDefault="0060537A">
            <w:pPr>
              <w:jc w:val="right"/>
            </w:pPr>
            <w:r>
              <w:t>414.353</w:t>
            </w:r>
          </w:p>
        </w:tc>
        <w:tc>
          <w:tcPr>
            <w:tcW w:w="1632" w:type="dxa"/>
          </w:tcPr>
          <w:p w:rsidR="007D7F4A" w:rsidRDefault="0060537A">
            <w:pPr>
              <w:jc w:val="right"/>
            </w:pPr>
            <w:r>
              <w:t>392.256</w:t>
            </w:r>
          </w:p>
        </w:tc>
        <w:tc>
          <w:tcPr>
            <w:tcW w:w="1632" w:type="dxa"/>
          </w:tcPr>
          <w:p w:rsidR="007D7F4A" w:rsidRDefault="0060537A">
            <w:pPr>
              <w:jc w:val="right"/>
            </w:pPr>
            <w:r>
              <w:t>412.297</w:t>
            </w:r>
          </w:p>
        </w:tc>
        <w:tc>
          <w:tcPr>
            <w:tcW w:w="510" w:type="dxa"/>
          </w:tcPr>
          <w:p w:rsidR="007D7F4A" w:rsidRDefault="0060537A">
            <w:pPr>
              <w:jc w:val="right"/>
            </w:pPr>
            <w:r>
              <w:t>114,0</w:t>
            </w:r>
          </w:p>
        </w:tc>
      </w:tr>
    </w:tbl>
    <w:p w:rsidR="007D7F4A" w:rsidRDefault="007D7F4A">
      <w:pPr>
        <w:jc w:val="left"/>
      </w:pPr>
    </w:p>
    <w:p w:rsidR="007D7F4A" w:rsidRDefault="0060537A">
      <w:pPr>
        <w:pStyle w:val="Heading8"/>
        <w:jc w:val="left"/>
      </w:pPr>
      <w:r>
        <w:t>Cilj 1. Kontinuitet i poboljšanje efikasnosti Vlade Republike Hrvatske</w:t>
      </w:r>
    </w:p>
    <w:p w:rsidR="007D7F4A" w:rsidRDefault="0060537A">
      <w:pPr>
        <w:pStyle w:val="Heading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292"/>
        <w:gridCol w:w="2292"/>
        <w:gridCol w:w="937"/>
        <w:gridCol w:w="937"/>
        <w:gridCol w:w="937"/>
        <w:gridCol w:w="937"/>
        <w:gridCol w:w="937"/>
        <w:gridCol w:w="937"/>
      </w:tblGrid>
      <w:tr w:rsidR="007D7F4A">
        <w:trPr>
          <w:jc w:val="center"/>
        </w:trPr>
        <w:tc>
          <w:tcPr>
            <w:tcW w:w="2245" w:type="dxa"/>
            <w:shd w:val="clear" w:color="auto" w:fill="B5C0D8"/>
          </w:tcPr>
          <w:p w:rsidR="007D7F4A" w:rsidRDefault="0060537A">
            <w:pPr>
              <w:jc w:val="center"/>
            </w:pPr>
            <w:r>
              <w:t>Pokazatelj učinka</w:t>
            </w:r>
          </w:p>
        </w:tc>
        <w:tc>
          <w:tcPr>
            <w:tcW w:w="2245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918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(2024.)</w:t>
            </w:r>
          </w:p>
        </w:tc>
        <w:tc>
          <w:tcPr>
            <w:tcW w:w="918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918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(2026.)</w:t>
            </w:r>
          </w:p>
        </w:tc>
      </w:tr>
      <w:tr w:rsidR="007D7F4A">
        <w:trPr>
          <w:jc w:val="center"/>
        </w:trPr>
        <w:tc>
          <w:tcPr>
            <w:tcW w:w="2245" w:type="dxa"/>
            <w:vAlign w:val="top"/>
          </w:tcPr>
          <w:p w:rsidR="007D7F4A" w:rsidRDefault="0060537A">
            <w:pPr>
              <w:pStyle w:val="CellColumn"/>
              <w:jc w:val="left"/>
            </w:pPr>
            <w:r>
              <w:rPr>
                <w:rFonts w:cs="Times New Roman"/>
              </w:rPr>
              <w:t>Osigurana potpuna provedba protokolarnih, ceremonijalnih, stručnih i organizacijski</w:t>
            </w:r>
            <w:r>
              <w:rPr>
                <w:rFonts w:cs="Times New Roman"/>
              </w:rPr>
              <w:t>h poslova za potrebe Vlade Republike Hrvatske, predsjednika Vlade i potpredsjednicu/ke Vlade</w:t>
            </w:r>
          </w:p>
        </w:tc>
        <w:tc>
          <w:tcPr>
            <w:tcW w:w="2245" w:type="dxa"/>
            <w:vAlign w:val="top"/>
          </w:tcPr>
          <w:p w:rsidR="007D7F4A" w:rsidRDefault="0060537A">
            <w:pPr>
              <w:pStyle w:val="CellColumn"/>
              <w:jc w:val="left"/>
            </w:pPr>
            <w:r>
              <w:rPr>
                <w:rFonts w:cs="Times New Roman"/>
              </w:rPr>
              <w:t>Uredbom o Uredu određen je djelokrug Ureda te druga pitanja od značaja za rad Ureda.</w:t>
            </w:r>
          </w:p>
        </w:tc>
        <w:tc>
          <w:tcPr>
            <w:tcW w:w="918" w:type="dxa"/>
          </w:tcPr>
          <w:p w:rsidR="007D7F4A" w:rsidRDefault="0060537A">
            <w:pPr>
              <w:jc w:val="center"/>
            </w:pPr>
            <w:r>
              <w:t>%</w:t>
            </w:r>
          </w:p>
        </w:tc>
        <w:tc>
          <w:tcPr>
            <w:tcW w:w="918" w:type="dxa"/>
          </w:tcPr>
          <w:p w:rsidR="007D7F4A" w:rsidRDefault="0060537A">
            <w:pPr>
              <w:jc w:val="center"/>
            </w:pPr>
            <w:r>
              <w:t>100</w:t>
            </w:r>
          </w:p>
        </w:tc>
        <w:tc>
          <w:tcPr>
            <w:tcW w:w="918" w:type="dxa"/>
          </w:tcPr>
          <w:p w:rsidR="007D7F4A" w:rsidRDefault="0060537A">
            <w:pPr>
              <w:pStyle w:val="CellColumn"/>
              <w:jc w:val="center"/>
            </w:pPr>
            <w:r>
              <w:rPr>
                <w:rFonts w:cs="Times New Roman"/>
              </w:rPr>
              <w:t>Ured</w:t>
            </w:r>
          </w:p>
        </w:tc>
        <w:tc>
          <w:tcPr>
            <w:tcW w:w="918" w:type="dxa"/>
          </w:tcPr>
          <w:p w:rsidR="007D7F4A" w:rsidRDefault="0060537A">
            <w:pPr>
              <w:jc w:val="center"/>
            </w:pPr>
            <w:r>
              <w:t>100</w:t>
            </w:r>
          </w:p>
        </w:tc>
        <w:tc>
          <w:tcPr>
            <w:tcW w:w="918" w:type="dxa"/>
          </w:tcPr>
          <w:p w:rsidR="007D7F4A" w:rsidRDefault="0060537A">
            <w:pPr>
              <w:jc w:val="center"/>
            </w:pPr>
            <w:r>
              <w:t>100</w:t>
            </w:r>
          </w:p>
        </w:tc>
        <w:tc>
          <w:tcPr>
            <w:tcW w:w="918" w:type="dxa"/>
          </w:tcPr>
          <w:p w:rsidR="007D7F4A" w:rsidRDefault="0060537A">
            <w:pPr>
              <w:jc w:val="center"/>
            </w:pPr>
            <w:r>
              <w:t>100</w:t>
            </w:r>
          </w:p>
        </w:tc>
      </w:tr>
    </w:tbl>
    <w:p w:rsidR="007D7F4A" w:rsidRDefault="007D7F4A">
      <w:pPr>
        <w:jc w:val="left"/>
      </w:pPr>
    </w:p>
    <w:p w:rsidR="007D7F4A" w:rsidRDefault="0060537A">
      <w:pPr>
        <w:pStyle w:val="Heading4"/>
      </w:pPr>
      <w:r>
        <w:t>A686000 ADMINISTRACIJA I UPRAVLJANJE</w:t>
      </w:r>
    </w:p>
    <w:p w:rsidR="007D7F4A" w:rsidRDefault="0060537A">
      <w:pPr>
        <w:pStyle w:val="Heading8"/>
        <w:jc w:val="left"/>
      </w:pPr>
      <w:r>
        <w:t>Zakonske i druge pravne osnove</w:t>
      </w:r>
    </w:p>
    <w:p w:rsidR="007D7F4A" w:rsidRDefault="0060537A">
      <w:r>
        <w:t>Uredba o Uredu za protokol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73"/>
        <w:gridCol w:w="1559"/>
        <w:gridCol w:w="1551"/>
        <w:gridCol w:w="1551"/>
        <w:gridCol w:w="1551"/>
        <w:gridCol w:w="1551"/>
        <w:gridCol w:w="970"/>
      </w:tblGrid>
      <w:tr w:rsidR="007D7F4A">
        <w:trPr>
          <w:jc w:val="center"/>
        </w:trPr>
        <w:tc>
          <w:tcPr>
            <w:tcW w:w="1530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2023.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7D7F4A">
        <w:trPr>
          <w:jc w:val="center"/>
        </w:trPr>
        <w:tc>
          <w:tcPr>
            <w:tcW w:w="1530" w:type="dxa"/>
            <w:vAlign w:val="top"/>
          </w:tcPr>
          <w:p w:rsidR="007D7F4A" w:rsidRDefault="0060537A">
            <w:pPr>
              <w:pStyle w:val="CellColumn"/>
              <w:jc w:val="left"/>
            </w:pPr>
            <w:r>
              <w:rPr>
                <w:rFonts w:cs="Times New Roman"/>
              </w:rPr>
              <w:t>A686000</w:t>
            </w:r>
          </w:p>
        </w:tc>
        <w:tc>
          <w:tcPr>
            <w:tcW w:w="1632" w:type="dxa"/>
            <w:vAlign w:val="top"/>
          </w:tcPr>
          <w:p w:rsidR="007D7F4A" w:rsidRDefault="0060537A">
            <w:pPr>
              <w:jc w:val="right"/>
            </w:pPr>
            <w:r>
              <w:t>247.050</w:t>
            </w:r>
          </w:p>
        </w:tc>
        <w:tc>
          <w:tcPr>
            <w:tcW w:w="1632" w:type="dxa"/>
            <w:vAlign w:val="top"/>
          </w:tcPr>
          <w:p w:rsidR="007D7F4A" w:rsidRDefault="0060537A">
            <w:pPr>
              <w:jc w:val="right"/>
            </w:pPr>
            <w:r>
              <w:t>361.117</w:t>
            </w:r>
          </w:p>
        </w:tc>
        <w:tc>
          <w:tcPr>
            <w:tcW w:w="1632" w:type="dxa"/>
            <w:vAlign w:val="top"/>
          </w:tcPr>
          <w:p w:rsidR="007D7F4A" w:rsidRDefault="0060537A">
            <w:pPr>
              <w:jc w:val="right"/>
            </w:pPr>
            <w:r>
              <w:t>410.503</w:t>
            </w:r>
          </w:p>
        </w:tc>
        <w:tc>
          <w:tcPr>
            <w:tcW w:w="1632" w:type="dxa"/>
            <w:vAlign w:val="top"/>
          </w:tcPr>
          <w:p w:rsidR="007D7F4A" w:rsidRDefault="0060537A">
            <w:pPr>
              <w:jc w:val="right"/>
            </w:pPr>
            <w:r>
              <w:t>387.609</w:t>
            </w:r>
          </w:p>
        </w:tc>
        <w:tc>
          <w:tcPr>
            <w:tcW w:w="1632" w:type="dxa"/>
            <w:vAlign w:val="top"/>
          </w:tcPr>
          <w:p w:rsidR="007D7F4A" w:rsidRDefault="0060537A">
            <w:pPr>
              <w:jc w:val="right"/>
            </w:pPr>
            <w:r>
              <w:t>407.650</w:t>
            </w:r>
          </w:p>
        </w:tc>
        <w:tc>
          <w:tcPr>
            <w:tcW w:w="510" w:type="dxa"/>
            <w:vAlign w:val="top"/>
          </w:tcPr>
          <w:p w:rsidR="007D7F4A" w:rsidRDefault="0060537A">
            <w:pPr>
              <w:jc w:val="right"/>
            </w:pPr>
            <w:r>
              <w:t>113,7</w:t>
            </w:r>
          </w:p>
        </w:tc>
      </w:tr>
    </w:tbl>
    <w:p w:rsidR="007D7F4A" w:rsidRDefault="007D7F4A">
      <w:pPr>
        <w:jc w:val="left"/>
      </w:pPr>
    </w:p>
    <w:p w:rsidR="007D7F4A" w:rsidRDefault="0060537A">
      <w:r>
        <w:t xml:space="preserve">U okviru aktivnosti A686000 Administracija i upravljanje planirana su sredstva u iznosu 410.503,00 eura za 2024. godinu, 387.609,00 eura za 2025. godinu te 407.650,00 eura za 2026. godinu. </w:t>
      </w:r>
    </w:p>
    <w:p w:rsidR="007D7F4A" w:rsidRDefault="0060537A">
      <w:r>
        <w:t xml:space="preserve"> </w:t>
      </w:r>
    </w:p>
    <w:p w:rsidR="007D7F4A" w:rsidRDefault="0060537A">
      <w:r>
        <w:t xml:space="preserve">U nastavku dajemo razradu planiranih sredstava po skupinama rashoda kako slijedi: </w:t>
      </w:r>
    </w:p>
    <w:p w:rsidR="007D7F4A" w:rsidRDefault="0060537A">
      <w:r>
        <w:t xml:space="preserve"> </w:t>
      </w:r>
    </w:p>
    <w:p w:rsidR="007D7F4A" w:rsidRDefault="0060537A">
      <w:r>
        <w:t xml:space="preserve">31 Rashodi za zaposlene </w:t>
      </w:r>
    </w:p>
    <w:p w:rsidR="007D7F4A" w:rsidRDefault="0060537A">
      <w:r>
        <w:t>Vrijednosno najznačajniji rashodi odnose se na rashode  za zaposlene. Planirana su sredstva u iznosu 269.761,00 eura za 2024. godinu, 269.694,00 e</w:t>
      </w:r>
      <w:r>
        <w:t xml:space="preserve">ura za 2025. godinu te 271.129,00 za 2026. godinu. </w:t>
      </w:r>
    </w:p>
    <w:p w:rsidR="007D7F4A" w:rsidRDefault="0060537A">
      <w:r>
        <w:t xml:space="preserve"> </w:t>
      </w:r>
    </w:p>
    <w:p w:rsidR="007D7F4A" w:rsidRDefault="0060537A">
      <w:r>
        <w:t xml:space="preserve">32 Materijalni rashodi </w:t>
      </w:r>
    </w:p>
    <w:p w:rsidR="007D7F4A" w:rsidRDefault="0060537A">
      <w:r>
        <w:t xml:space="preserve">Planirana su sredstva u iznosu 137.070,00 eura za 2024. godinu, 117.030,00 eura za 2025. godinu te 135.636,00 eura za 2026. godinu. </w:t>
      </w:r>
    </w:p>
    <w:p w:rsidR="007D7F4A" w:rsidRDefault="0060537A">
      <w:r>
        <w:t>Sredstva su planirana za službena putovanja u</w:t>
      </w:r>
      <w:r>
        <w:t xml:space="preserve"> SAD u 2024. i 2026. godini, naknade za prijevoz na posao i s posla, uredske potrepštine, energente i komunalije, telekomunikacijske usluge, intelektualne usluge, nabavu sitnog inventara, režijske te reprezentacija. </w:t>
      </w:r>
    </w:p>
    <w:p w:rsidR="007D7F4A" w:rsidRDefault="0060537A">
      <w:r>
        <w:lastRenderedPageBreak/>
        <w:t>Ured obavlja ceremonijalne, stručne, organizacijske i tehničke poslove protokola za potrebe predsjednika Vlade i potpredsjednicu/ke Vlade, sudjeluje u pripremi i provođenju programa predsjednika Vlade izvan Republike Hrvatske te cjelokupnoj pripremi i prov</w:t>
      </w:r>
      <w:r>
        <w:t xml:space="preserve">ođenju programa službenih i radnih posjeta predsjednika vlada drugih država Republici Hrvatskoj.  </w:t>
      </w:r>
    </w:p>
    <w:p w:rsidR="007D7F4A" w:rsidRDefault="0060537A">
      <w:r>
        <w:t>Rad Ureda može se podijeliti na sljedeće kategorije: domaći programi u zgradi Vlade, programi u Zagrebu, programi izvan Zagreba (ali u RH), posjeti stranih d</w:t>
      </w:r>
      <w:r>
        <w:t xml:space="preserve">užnosnika, putovanja predsjednika Vlade izvan Republike Hrvatske.  </w:t>
      </w:r>
    </w:p>
    <w:p w:rsidR="007D7F4A" w:rsidRDefault="0060537A">
      <w:r>
        <w:t>Podmirenje navedenih aktivnosti odnose se na službena putovanja, nabavu zastava, usluge prijevoda, usluge tiskanja omota, pozivnica, menua i slično, članarine za službene kartice, nabavu p</w:t>
      </w:r>
      <w:r>
        <w:t xml:space="preserve">rotokolarnih poklona i vijenaca. </w:t>
      </w:r>
    </w:p>
    <w:p w:rsidR="007D7F4A" w:rsidRDefault="0060537A">
      <w:r>
        <w:t>Ostatak planiranih sredstava u okviru ove skupine rashoda odnosi se na naknade za prijevoz na posao i s posla, nabavu uredskih potrepština i službene odjeće, telekomunikacijske usluge, tiskovine, sistematske preglede, raču</w:t>
      </w:r>
      <w:r>
        <w:t xml:space="preserve">nalne usluge. </w:t>
      </w:r>
    </w:p>
    <w:p w:rsidR="007D7F4A" w:rsidRDefault="0060537A">
      <w:r>
        <w:t xml:space="preserve"> </w:t>
      </w:r>
    </w:p>
    <w:p w:rsidR="007D7F4A" w:rsidRDefault="0060537A">
      <w:r>
        <w:t xml:space="preserve">34 Financijski rashodi </w:t>
      </w:r>
    </w:p>
    <w:p w:rsidR="007D7F4A" w:rsidRDefault="0060537A">
      <w:r>
        <w:t xml:space="preserve">Planirana su sredstva u iznosu 88,00 eura za svaku godinu planiranja. Sredstva su planirana za bankarske usluge, negativne tečajne razlike te zatezne kamate. </w:t>
      </w:r>
    </w:p>
    <w:p w:rsidR="007D7F4A" w:rsidRDefault="0060537A">
      <w:r>
        <w:t xml:space="preserve"> </w:t>
      </w:r>
    </w:p>
    <w:p w:rsidR="007D7F4A" w:rsidRDefault="0060537A">
      <w:r>
        <w:t xml:space="preserve">42 Rashodi za nabavu proizvedene dugotrajne imovine </w:t>
      </w:r>
    </w:p>
    <w:p w:rsidR="007D7F4A" w:rsidRDefault="0060537A">
      <w:r>
        <w:t>P</w:t>
      </w:r>
      <w:r>
        <w:t>lanirana su sredstva u iznosu 3.584,00 eura za 2024. godinu, 797,00 eura za 2025. godinu te 797,00 eura za 2026. godinu. Sredstva su planirana za nabavljanje mobilnih uređaja te nabavku 7 IP telefona sa 2 switcha.</w:t>
      </w:r>
    </w:p>
    <w:p w:rsidR="007D7F4A" w:rsidRDefault="0060537A">
      <w:pPr>
        <w:pStyle w:val="Heading4"/>
      </w:pPr>
      <w:r>
        <w:t>K686009 INFORMATIZACIJA UREDA ZA PROTOKOL</w:t>
      </w:r>
    </w:p>
    <w:p w:rsidR="007D7F4A" w:rsidRDefault="0060537A">
      <w:pPr>
        <w:pStyle w:val="Heading8"/>
        <w:jc w:val="left"/>
      </w:pPr>
      <w:r>
        <w:t>Zakonske i druge pravne osnove</w:t>
      </w:r>
    </w:p>
    <w:p w:rsidR="007D7F4A" w:rsidRDefault="0060537A">
      <w:r>
        <w:t>Uredba o Uredu za protokol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79"/>
        <w:gridCol w:w="1569"/>
        <w:gridCol w:w="1547"/>
        <w:gridCol w:w="1547"/>
        <w:gridCol w:w="1547"/>
        <w:gridCol w:w="1547"/>
        <w:gridCol w:w="970"/>
      </w:tblGrid>
      <w:tr w:rsidR="007D7F4A">
        <w:trPr>
          <w:jc w:val="center"/>
        </w:trPr>
        <w:tc>
          <w:tcPr>
            <w:tcW w:w="1530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2023.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7D7F4A" w:rsidRDefault="0060537A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7D7F4A">
        <w:trPr>
          <w:jc w:val="center"/>
        </w:trPr>
        <w:tc>
          <w:tcPr>
            <w:tcW w:w="1530" w:type="dxa"/>
            <w:vAlign w:val="top"/>
          </w:tcPr>
          <w:p w:rsidR="007D7F4A" w:rsidRDefault="0060537A">
            <w:pPr>
              <w:pStyle w:val="CellColumn"/>
              <w:jc w:val="left"/>
            </w:pPr>
            <w:r>
              <w:rPr>
                <w:rFonts w:cs="Times New Roman"/>
              </w:rPr>
              <w:t>K686009</w:t>
            </w:r>
          </w:p>
        </w:tc>
        <w:tc>
          <w:tcPr>
            <w:tcW w:w="1632" w:type="dxa"/>
            <w:vAlign w:val="top"/>
          </w:tcPr>
          <w:p w:rsidR="007D7F4A" w:rsidRDefault="0060537A">
            <w:pPr>
              <w:jc w:val="right"/>
            </w:pPr>
            <w:r>
              <w:t>2.381</w:t>
            </w:r>
          </w:p>
        </w:tc>
        <w:tc>
          <w:tcPr>
            <w:tcW w:w="1632" w:type="dxa"/>
            <w:vAlign w:val="top"/>
          </w:tcPr>
          <w:p w:rsidR="007D7F4A" w:rsidRDefault="0060537A">
            <w:pPr>
              <w:jc w:val="right"/>
            </w:pPr>
            <w:r>
              <w:t>2.390</w:t>
            </w:r>
          </w:p>
        </w:tc>
        <w:tc>
          <w:tcPr>
            <w:tcW w:w="1632" w:type="dxa"/>
            <w:vAlign w:val="top"/>
          </w:tcPr>
          <w:p w:rsidR="007D7F4A" w:rsidRDefault="0060537A">
            <w:pPr>
              <w:jc w:val="right"/>
            </w:pPr>
            <w:r>
              <w:t>3.850</w:t>
            </w:r>
          </w:p>
        </w:tc>
        <w:tc>
          <w:tcPr>
            <w:tcW w:w="1632" w:type="dxa"/>
            <w:vAlign w:val="top"/>
          </w:tcPr>
          <w:p w:rsidR="007D7F4A" w:rsidRDefault="0060537A">
            <w:pPr>
              <w:jc w:val="right"/>
            </w:pPr>
            <w:r>
              <w:t>4.647</w:t>
            </w:r>
          </w:p>
        </w:tc>
        <w:tc>
          <w:tcPr>
            <w:tcW w:w="1632" w:type="dxa"/>
            <w:vAlign w:val="top"/>
          </w:tcPr>
          <w:p w:rsidR="007D7F4A" w:rsidRDefault="0060537A">
            <w:pPr>
              <w:jc w:val="right"/>
            </w:pPr>
            <w:r>
              <w:t>4.647</w:t>
            </w:r>
          </w:p>
        </w:tc>
        <w:tc>
          <w:tcPr>
            <w:tcW w:w="510" w:type="dxa"/>
            <w:vAlign w:val="top"/>
          </w:tcPr>
          <w:p w:rsidR="007D7F4A" w:rsidRDefault="0060537A">
            <w:pPr>
              <w:jc w:val="right"/>
            </w:pPr>
            <w:r>
              <w:t>161,1</w:t>
            </w:r>
          </w:p>
        </w:tc>
      </w:tr>
    </w:tbl>
    <w:p w:rsidR="007D7F4A" w:rsidRDefault="007D7F4A">
      <w:pPr>
        <w:jc w:val="left"/>
      </w:pPr>
    </w:p>
    <w:p w:rsidR="007D7F4A" w:rsidRDefault="0060537A">
      <w:r>
        <w:t xml:space="preserve">U okviru kapitalnog projekta K686009 Informatizacija Ureda za protokol planirana su sredstva u iznosu 3.850,00 eura za 2024. godinu, 4.647,00 eura za 2025. godinu te 4.647,00 eura za 2026. godinu. </w:t>
      </w:r>
    </w:p>
    <w:p w:rsidR="007D7F4A" w:rsidRDefault="0060537A">
      <w:r>
        <w:t xml:space="preserve"> </w:t>
      </w:r>
    </w:p>
    <w:p w:rsidR="007D7F4A" w:rsidRDefault="0060537A">
      <w:r>
        <w:t>U nastavku dajemo razradu planiranih sredstava po skupin</w:t>
      </w:r>
      <w:r>
        <w:t xml:space="preserve">ama rashoda kako slijedi: </w:t>
      </w:r>
    </w:p>
    <w:p w:rsidR="007D7F4A" w:rsidRDefault="0060537A">
      <w:r>
        <w:t xml:space="preserve"> </w:t>
      </w:r>
    </w:p>
    <w:p w:rsidR="007D7F4A" w:rsidRDefault="0060537A">
      <w:r>
        <w:t xml:space="preserve">32 Materijalni rashodi </w:t>
      </w:r>
    </w:p>
    <w:p w:rsidR="007D7F4A" w:rsidRDefault="0060537A">
      <w:r>
        <w:t>Planirana su sredstva u iznosu 531,00 eura za 2024. godinu, 1.328,00 eura za 2025. godinu te 1.328,00 za 2026. godinu. Sredstva su planirana za licence čije je vrijeme trajanja do godinu dana (Microsoft)</w:t>
      </w:r>
      <w:r>
        <w:t xml:space="preserve">. </w:t>
      </w:r>
    </w:p>
    <w:p w:rsidR="007D7F4A" w:rsidRDefault="0060537A">
      <w:r>
        <w:t xml:space="preserve"> </w:t>
      </w:r>
    </w:p>
    <w:p w:rsidR="007D7F4A" w:rsidRDefault="0060537A">
      <w:r>
        <w:t xml:space="preserve">42 Rashodi za nabavu proizvedene dugotrajne imovine </w:t>
      </w:r>
    </w:p>
    <w:p w:rsidR="007D7F4A" w:rsidRDefault="0060537A">
      <w:r>
        <w:t>Planirana su sredstva u iznosu 3.319,00 eura za svaku godinu planiranja, a odnose se na nabavku po dva stolna računala za svaku godinu.</w:t>
      </w:r>
    </w:p>
    <w:sectPr w:rsidR="007D7F4A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37A" w:rsidRDefault="0060537A" w:rsidP="00F352E6">
      <w:r>
        <w:separator/>
      </w:r>
    </w:p>
  </w:endnote>
  <w:endnote w:type="continuationSeparator" w:id="0">
    <w:p w:rsidR="0060537A" w:rsidRDefault="0060537A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60537A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37A" w:rsidRDefault="0060537A" w:rsidP="00F352E6">
      <w:r>
        <w:separator/>
      </w:r>
    </w:p>
  </w:footnote>
  <w:footnote w:type="continuationSeparator" w:id="0">
    <w:p w:rsidR="0060537A" w:rsidRDefault="0060537A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60537A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0537A"/>
    <w:rsid w:val="00633683"/>
    <w:rsid w:val="00674346"/>
    <w:rsid w:val="006B3283"/>
    <w:rsid w:val="007665AA"/>
    <w:rsid w:val="007A0509"/>
    <w:rsid w:val="007A7E45"/>
    <w:rsid w:val="007D1C46"/>
    <w:rsid w:val="007D395B"/>
    <w:rsid w:val="007D4430"/>
    <w:rsid w:val="007D7F4A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8F34-E085-4B6B-BB6E-D9B99905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Internet Proracun</cp:lastModifiedBy>
  <cp:revision>2</cp:revision>
  <dcterms:created xsi:type="dcterms:W3CDTF">2023-11-15T14:43:00Z</dcterms:created>
  <dcterms:modified xsi:type="dcterms:W3CDTF">2023-11-15T14:43:00Z</dcterms:modified>
</cp:coreProperties>
</file>